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240"/>
        <w:jc w:val="center"/>
      </w:pPr>
      <w:r>
        <w:rPr>
          <w:rFonts w:ascii="Aptos" w:hAnsi="Aptos"/>
          <w:b/>
          <w:color w:val="196F3D"/>
          <w:sz w:val="22"/>
        </w:rPr>
        <w:t>C4G WHITE PAPER</w:t>
      </w:r>
    </w:p>
    <w:p>
      <w:pPr>
        <w:spacing w:before="360" w:after="240"/>
        <w:jc w:val="center"/>
      </w:pPr>
      <w:r>
        <w:rPr>
          <w:rFonts w:ascii="Aptos" w:hAnsi="Aptos"/>
          <w:b/>
          <w:color w:val="1E2623"/>
          <w:sz w:val="62"/>
        </w:rPr>
        <w:t>CLIENT CONTROL</w:t>
      </w:r>
    </w:p>
    <w:p>
      <w:pPr>
        <w:spacing w:after="560"/>
        <w:jc w:val="center"/>
      </w:pPr>
      <w:r>
        <w:rPr>
          <w:rFonts w:ascii="Aptos" w:hAnsi="Aptos"/>
          <w:color w:val="196F3D"/>
          <w:sz w:val="32"/>
        </w:rPr>
        <w:t>The Advisor's Ethical Responsibility to Lead the Conversation</w:t>
      </w:r>
    </w:p>
    <w:p>
      <w:pPr>
        <w:jc w:val="center"/>
      </w:pPr>
      <w:r>
        <w:rPr>
          <w:rFonts w:ascii="Aptos" w:hAnsi="Aptos"/>
          <w:i/>
          <w:color w:val="5C6561"/>
          <w:sz w:val="23"/>
        </w:rPr>
        <w:t>Why structure, clarity, and follow-through protect the client and improve outcomes</w:t>
      </w:r>
    </w:p>
    <w:p>
      <w:pPr>
        <w:spacing w:before="2500"/>
        <w:jc w:val="center"/>
      </w:pPr>
      <w:r>
        <w:rPr>
          <w:rFonts w:ascii="Aptos" w:hAnsi="Aptos"/>
          <w:color w:val="5C6561"/>
          <w:sz w:val="20"/>
        </w:rPr>
        <w:t>Co-authored by</w:t>
      </w:r>
    </w:p>
    <w:p>
      <w:pPr>
        <w:jc w:val="center"/>
      </w:pPr>
      <w:r>
        <w:rPr>
          <w:rFonts w:ascii="Aptos" w:hAnsi="Aptos"/>
          <w:b/>
          <w:color w:val="1E2623"/>
          <w:sz w:val="24"/>
        </w:rPr>
        <w:t>John A. Kailunas II, LUTCF, FSCP</w:t>
        <w:br/>
        <w:t>Kevin Berwald, CFP®, ChFC®, CASL®, CLU®</w:t>
      </w:r>
    </w:p>
    <w:p>
      <w:pPr>
        <w:spacing w:before="560"/>
        <w:jc w:val="center"/>
      </w:pPr>
      <w:r>
        <w:rPr>
          <w:rFonts w:ascii="Aptos" w:hAnsi="Aptos"/>
          <w:b/>
          <w:color w:val="196F3D"/>
          <w:sz w:val="20"/>
        </w:rPr>
        <w:t>CATALYST4GROWTH.COM</w:t>
      </w:r>
    </w:p>
    <w:p>
      <w:r>
        <w:br w:type="page"/>
      </w:r>
    </w:p>
    <w:p>
      <w:pPr>
        <w:pStyle w:val="Heading1"/>
      </w:pPr>
      <w:r>
        <w:t>Executive Summary</w:t>
      </w:r>
    </w:p>
    <w:p>
      <w:r>
        <w:t>Client control is one of the most misunderstood responsibilities in professional advice. The phrase can sound forceful, but ethical client control is neither coercion nor manipulation. It is the disciplined leadership of a conversation that a prospect or client voluntarily entered to obtain help, insight, or service.</w:t>
      </w:r>
    </w:p>
    <w:p>
      <w:r>
        <w:t>The client owns the decision. The advisor owns the process. That distinction is the foundation of this paper.</w:t>
      </w:r>
    </w:p>
    <w:p>
      <w:r>
        <w:t>When an advisor fails to establish purpose, define an agenda, ask difficult questions, resolve confusion, and secure a clear next step, the meeting may feel pleasant but accomplish little. Important facts remain undiscovered. Emotion overtakes judgment. Decisions drift. Responsibilities become unclear. Follow-through weakens. Eventually, both the client and the practice pay the price.</w:t>
      </w:r>
    </w:p>
    <w:tbl>
      <w:tblPr>
        <w:tblW w:type="auto" w:w="0"/>
        <w:jc w:val="left"/>
        <w:tblLayout w:type="fixed"/>
        <w:tblLook w:firstColumn="1" w:firstRow="1" w:lastColumn="0" w:lastRow="0" w:noHBand="0" w:noVBand="1" w:val="04A0"/>
      </w:tblPr>
      <w:tblGrid>
        <w:gridCol w:w="9360"/>
      </w:tblGrid>
      <w:tr>
        <w:tc>
          <w:tcPr>
            <w:tcW w:type="dxa" w:w="9360"/>
            <w:tcW w:w="9360" w:type="dxa"/>
            <w:shd w:fill="EAF3ED"/>
            <w:vAlign w:val="center"/>
          </w:tcPr>
          <w:p>
            <w:pPr>
              <w:spacing w:before="140" w:after="140"/>
            </w:pPr>
            <w:r>
              <w:rPr>
                <w:rFonts w:ascii="Aptos" w:hAnsi="Aptos"/>
                <w:b/>
                <w:color w:val="196F3D"/>
              </w:rPr>
              <w:t xml:space="preserve">Central premise  </w:t>
            </w:r>
            <w:r>
              <w:t>The absence of ethical process leadership increases the risk of incomplete discovery, delayed decisions, poor follow-through, preventable behavioral mistakes, and loss of trust. Client control does not guarantee success, but its absence makes failure more likely.</w:t>
            </w:r>
          </w:p>
        </w:tc>
      </w:tr>
    </w:tbl>
    <w:p>
      <w:pPr>
        <w:spacing w:after="0"/>
      </w:pPr>
    </w:p>
    <w:p>
      <w:pPr>
        <w:pStyle w:val="Heading1"/>
      </w:pPr>
      <w:r>
        <w:t>What Client Control Is, and Is Not</w:t>
      </w:r>
    </w:p>
    <w:p>
      <w:r>
        <w:t>Client control is the advisor's ability to keep a mutually agreed conversation focused on the client's goals, circumstances, questions, and required decisions. It is expressed through preparation, listening, sequencing, clarification, education, and accountability.</w:t>
      </w:r>
    </w:p>
    <w:p>
      <w:pPr>
        <w:pStyle w:val="Heading2"/>
      </w:pPr>
      <w:r>
        <w:t>Client control is:</w:t>
      </w:r>
    </w:p>
    <w:p>
      <w:pPr>
        <w:pStyle w:val="ListBullet"/>
        <w:spacing w:after="80"/>
        <w:ind w:left="720" w:hanging="360"/>
      </w:pPr>
      <w:r>
        <w:t>Establishing a clear purpose and agenda with the client's agreement.</w:t>
      </w:r>
    </w:p>
    <w:p>
      <w:pPr>
        <w:pStyle w:val="ListBullet"/>
        <w:spacing w:after="80"/>
        <w:ind w:left="720" w:hanging="360"/>
      </w:pPr>
      <w:r>
        <w:t>Asking purposeful questions and listening for meaning, not merely facts.</w:t>
      </w:r>
    </w:p>
    <w:p>
      <w:pPr>
        <w:pStyle w:val="ListBullet"/>
        <w:spacing w:after="80"/>
        <w:ind w:left="720" w:hanging="360"/>
      </w:pPr>
      <w:r>
        <w:t>Redirecting tangents respectfully when they keep the client from the stated objective.</w:t>
      </w:r>
    </w:p>
    <w:p>
      <w:pPr>
        <w:pStyle w:val="ListBullet"/>
        <w:spacing w:after="80"/>
        <w:ind w:left="720" w:hanging="360"/>
      </w:pPr>
      <w:r>
        <w:t>Explaining choices, tradeoffs, costs, risks, and uncertainties in understandable language.</w:t>
      </w:r>
    </w:p>
    <w:p>
      <w:pPr>
        <w:pStyle w:val="ListBullet"/>
        <w:spacing w:after="80"/>
        <w:ind w:left="720" w:hanging="360"/>
      </w:pPr>
      <w:r>
        <w:t>Testing understanding rather than assuming agreement.</w:t>
      </w:r>
    </w:p>
    <w:p>
      <w:pPr>
        <w:pStyle w:val="ListBullet"/>
        <w:spacing w:after="80"/>
        <w:ind w:left="720" w:hanging="360"/>
      </w:pPr>
      <w:r>
        <w:t>Documenting decisions, ownership, deadlines, and the next meeting before the current meeting ends.</w:t>
      </w:r>
    </w:p>
    <w:p>
      <w:pPr>
        <w:pStyle w:val="ListBullet"/>
        <w:spacing w:after="80"/>
        <w:ind w:left="720" w:hanging="360"/>
      </w:pPr>
      <w:r>
        <w:t>Slowing down or stopping when the client needs more information or is not ready to decide.</w:t>
      </w:r>
    </w:p>
    <w:p>
      <w:pPr>
        <w:pStyle w:val="Heading2"/>
      </w:pPr>
      <w:r>
        <w:t>Client control is not:</w:t>
      </w:r>
    </w:p>
    <w:p>
      <w:pPr>
        <w:pStyle w:val="ListBullet"/>
        <w:spacing w:after="80"/>
        <w:ind w:left="720" w:hanging="360"/>
      </w:pPr>
      <w:r>
        <w:t>Using fear, greed, urgency, status, or confusion to force action.</w:t>
      </w:r>
    </w:p>
    <w:p>
      <w:pPr>
        <w:pStyle w:val="ListBullet"/>
        <w:spacing w:after="80"/>
        <w:ind w:left="720" w:hanging="360"/>
      </w:pPr>
      <w:r>
        <w:t>Predetermining the recommendation before discovery is complete.</w:t>
      </w:r>
    </w:p>
    <w:p>
      <w:pPr>
        <w:pStyle w:val="ListBullet"/>
        <w:spacing w:after="80"/>
        <w:ind w:left="720" w:hanging="360"/>
      </w:pPr>
      <w:r>
        <w:t>Interrupting, dominating, or dismissing client concerns.</w:t>
      </w:r>
    </w:p>
    <w:p>
      <w:pPr>
        <w:pStyle w:val="ListBullet"/>
        <w:spacing w:after="80"/>
        <w:ind w:left="720" w:hanging="360"/>
      </w:pPr>
      <w:r>
        <w:t>Steering a client toward a product because it benefits the advisor.</w:t>
      </w:r>
    </w:p>
    <w:p>
      <w:pPr>
        <w:pStyle w:val="ListBullet"/>
        <w:spacing w:after="80"/>
        <w:ind w:left="720" w:hanging="360"/>
      </w:pPr>
      <w:r>
        <w:t>Treating a signature as more important than informed understanding.</w:t>
      </w:r>
    </w:p>
    <w:p>
      <w:pPr>
        <w:pStyle w:val="ListBullet"/>
        <w:spacing w:after="80"/>
        <w:ind w:left="720" w:hanging="360"/>
      </w:pPr>
      <w:r>
        <w:t>Removing the client's freedom to question, pause, seek another opinion, or decline.</w:t>
      </w:r>
    </w:p>
    <w:p>
      <w:pPr>
        <w:pStyle w:val="Heading1"/>
      </w:pPr>
      <w:r>
        <w:t>The Evidence Behind Structured Advisor Leadership</w:t>
      </w:r>
    </w:p>
    <w:p>
      <w:r>
        <w:t>Research rarely uses the term client control. It does, however, measure the outcomes created by the practices inside it: trust, confidence, goal motivation, monitoring, behavioral coaching, personalization, emotional support, and follow-through.</w:t>
      </w:r>
    </w:p>
    <w:tbl>
      <w:tblPr>
        <w:tblW w:type="auto" w:w="0"/>
        <w:jc w:val="left"/>
        <w:tblLayout w:type="fixed"/>
        <w:tblLook w:firstColumn="1" w:firstRow="1" w:lastColumn="0" w:lastRow="0" w:noHBand="0" w:noVBand="1" w:val="04A0"/>
      </w:tblPr>
      <w:tblGrid>
        <w:gridCol w:w="4680"/>
        <w:gridCol w:w="4680"/>
      </w:tblGrid>
      <w:tr>
        <w:tc>
          <w:tcPr>
            <w:tcW w:type="dxa" w:w="4680"/>
            <w:tcW w:w="1800" w:type="dxa"/>
            <w:shd w:fill="196F3D"/>
          </w:tcPr>
          <w:p>
            <w:r>
              <w:rPr>
                <w:rFonts w:ascii="Aptos" w:hAnsi="Aptos"/>
                <w:b/>
                <w:color w:val="FFFFFF"/>
              </w:rPr>
              <w:t>Research finding</w:t>
            </w:r>
          </w:p>
        </w:tc>
        <w:tc>
          <w:tcPr>
            <w:tcW w:type="dxa" w:w="4680"/>
            <w:tcW w:w="7560" w:type="dxa"/>
            <w:shd w:fill="196F3D"/>
          </w:tcPr>
          <w:p>
            <w:r>
              <w:rPr>
                <w:rFonts w:ascii="Aptos" w:hAnsi="Aptos"/>
                <w:b/>
                <w:color w:val="FFFFFF"/>
              </w:rPr>
              <w:t>Why it matters</w:t>
            </w:r>
          </w:p>
        </w:tc>
      </w:tr>
      <w:tr>
        <w:tc>
          <w:tcPr>
            <w:tcW w:type="dxa" w:w="4680"/>
            <w:tcW w:w="1800" w:type="dxa"/>
          </w:tcPr>
          <w:p>
            <w:r>
              <w:rPr>
                <w:rFonts w:ascii="Aptos" w:hAnsi="Aptos"/>
                <w:b/>
                <w:color w:val="196F3D"/>
                <w:sz w:val="26"/>
              </w:rPr>
              <w:t>94%</w:t>
            </w:r>
          </w:p>
        </w:tc>
        <w:tc>
          <w:tcPr>
            <w:tcW w:type="dxa" w:w="4680"/>
            <w:tcW w:w="7560" w:type="dxa"/>
          </w:tcPr>
          <w:p>
            <w:r>
              <w:t>of households advised by CFP® professionals reported confidence in achieving their financial goals, versus 85% of households using other advisors and 81% of unadvised households. [1]</w:t>
            </w:r>
          </w:p>
        </w:tc>
      </w:tr>
      <w:tr>
        <w:tc>
          <w:tcPr>
            <w:tcW w:type="dxa" w:w="4680"/>
            <w:tcW w:w="1800" w:type="dxa"/>
          </w:tcPr>
          <w:p>
            <w:r>
              <w:rPr>
                <w:rFonts w:ascii="Aptos" w:hAnsi="Aptos"/>
                <w:b/>
                <w:color w:val="196F3D"/>
                <w:sz w:val="26"/>
              </w:rPr>
              <w:t>73%</w:t>
            </w:r>
          </w:p>
        </w:tc>
        <w:tc>
          <w:tcPr>
            <w:tcW w:type="dxa" w:w="4680"/>
            <w:tcW w:w="7560" w:type="dxa"/>
          </w:tcPr>
          <w:p>
            <w:r>
              <w:t>of CFP® professional clients reported strong trust in their advisor, compared with 52% of clients working with other advisors. [1]</w:t>
            </w:r>
          </w:p>
        </w:tc>
      </w:tr>
      <w:tr>
        <w:tc>
          <w:tcPr>
            <w:tcW w:type="dxa" w:w="4680"/>
            <w:tcW w:w="1800" w:type="dxa"/>
          </w:tcPr>
          <w:p>
            <w:r>
              <w:rPr>
                <w:rFonts w:ascii="Aptos" w:hAnsi="Aptos"/>
                <w:b/>
                <w:color w:val="196F3D"/>
                <w:sz w:val="26"/>
              </w:rPr>
              <w:t>59%</w:t>
            </w:r>
          </w:p>
        </w:tc>
        <w:tc>
          <w:tcPr>
            <w:tcW w:type="dxa" w:w="4680"/>
            <w:tcW w:w="7560" w:type="dxa"/>
          </w:tcPr>
          <w:p>
            <w:r>
              <w:t>said their CFP® professional helped reduce financial anxiety, while 54% said the advisor motivated them toward their planning goals. Comparable results for other advisors were 38% and 34%. [1]</w:t>
            </w:r>
          </w:p>
        </w:tc>
      </w:tr>
      <w:tr>
        <w:tc>
          <w:tcPr>
            <w:tcW w:type="dxa" w:w="4680"/>
            <w:tcW w:w="1800" w:type="dxa"/>
          </w:tcPr>
          <w:p>
            <w:r>
              <w:rPr>
                <w:rFonts w:ascii="Aptos" w:hAnsi="Aptos"/>
                <w:b/>
                <w:color w:val="196F3D"/>
                <w:sz w:val="26"/>
              </w:rPr>
              <w:t>86%</w:t>
            </w:r>
          </w:p>
        </w:tc>
        <w:tc>
          <w:tcPr>
            <w:tcW w:type="dxa" w:w="4680"/>
            <w:tcW w:w="7560" w:type="dxa"/>
          </w:tcPr>
          <w:p>
            <w:r>
              <w:t>of advised Vanguard clients reported more peace of mind than they experienced managing finances alone. Among human-advised clients, the figure was 88%. [2]</w:t>
            </w:r>
          </w:p>
        </w:tc>
      </w:tr>
      <w:tr>
        <w:tc>
          <w:tcPr>
            <w:tcW w:type="dxa" w:w="4680"/>
            <w:tcW w:w="1800" w:type="dxa"/>
          </w:tcPr>
          <w:p>
            <w:r>
              <w:rPr>
                <w:rFonts w:ascii="Aptos" w:hAnsi="Aptos"/>
                <w:b/>
                <w:color w:val="196F3D"/>
                <w:sz w:val="26"/>
              </w:rPr>
              <w:t>76%</w:t>
            </w:r>
          </w:p>
        </w:tc>
        <w:tc>
          <w:tcPr>
            <w:tcW w:type="dxa" w:w="4680"/>
            <w:tcW w:w="7560" w:type="dxa"/>
          </w:tcPr>
          <w:p>
            <w:r>
              <w:t>of advised Vanguard clients said advice saved them time, with a median reported savings of about two hours per week. Human-advised clients reported this benefit at 78%. [2]</w:t>
            </w:r>
          </w:p>
        </w:tc>
      </w:tr>
      <w:tr>
        <w:tc>
          <w:tcPr>
            <w:tcW w:type="dxa" w:w="4680"/>
            <w:tcW w:w="1800" w:type="dxa"/>
          </w:tcPr>
          <w:p>
            <w:r>
              <w:rPr>
                <w:rFonts w:ascii="Aptos" w:hAnsi="Aptos"/>
                <w:b/>
                <w:color w:val="196F3D"/>
                <w:sz w:val="26"/>
              </w:rPr>
              <w:t>83 to 285 bps</w:t>
            </w:r>
          </w:p>
        </w:tc>
        <w:tc>
          <w:tcPr>
            <w:tcW w:type="dxa" w:w="4680"/>
            <w:tcW w:w="7560" w:type="dxa"/>
          </w:tcPr>
          <w:p>
            <w:r>
              <w:t>was the modeled annual value range across four hypothetical Vanguard client cases involving personalized planning interventions. Vanguard cautions that any individual's value may be higher or lower. [3]</w:t>
            </w:r>
          </w:p>
        </w:tc>
      </w:tr>
    </w:tbl>
    <w:p>
      <w:r>
        <w:t>These findings do not prove that a tightly managed meeting alone caused every outcome. They do show that the elements of ethical process leadership are associated with the value clients seek from advice. Vanguard explicitly describes follow-through, ongoing monitoring, goal discovery, behavioral coaching, and keeping plans on course as sources of advisor value. [2][3]</w:t>
      </w:r>
    </w:p>
    <w:p>
      <w:pPr>
        <w:pStyle w:val="Heading1"/>
      </w:pPr>
      <w:r>
        <w:t>How the Absence of Control Leads to Failure</w:t>
      </w:r>
    </w:p>
    <w:p>
      <w:pPr>
        <w:pStyle w:val="ListNumber"/>
        <w:spacing w:after="100"/>
        <w:ind w:left="720" w:hanging="360"/>
      </w:pPr>
      <w:r>
        <w:rPr>
          <w:rFonts w:ascii="Aptos" w:hAnsi="Aptos"/>
          <w:b/>
          <w:color w:val="196F3D"/>
        </w:rPr>
        <w:t xml:space="preserve">Discovery failure: </w:t>
      </w:r>
      <w:r>
        <w:t>Without a disciplined sequence of questions, the advisor may collect account values but miss the client's motives, family dynamics, fears, priorities, time horizon, tax concerns, liquidity needs, and capacity for risk. A recommendation built on partial discovery can be technically elegant and personally wrong.</w:t>
      </w:r>
    </w:p>
    <w:p>
      <w:pPr>
        <w:pStyle w:val="ListNumber"/>
        <w:spacing w:after="100"/>
        <w:ind w:left="720" w:hanging="360"/>
      </w:pPr>
      <w:r>
        <w:rPr>
          <w:rFonts w:ascii="Aptos" w:hAnsi="Aptos"/>
          <w:b/>
          <w:color w:val="196F3D"/>
        </w:rPr>
        <w:t xml:space="preserve">Conversation failure: </w:t>
      </w:r>
      <w:r>
        <w:t>When the advisor allows every tangent to redefine the meeting, the central issue remains unresolved. Activity is mistaken for progress. Both parties leave with different interpretations of what happened.</w:t>
      </w:r>
    </w:p>
    <w:p>
      <w:pPr>
        <w:pStyle w:val="ListNumber"/>
        <w:spacing w:after="100"/>
        <w:ind w:left="720" w:hanging="360"/>
      </w:pPr>
      <w:r>
        <w:rPr>
          <w:rFonts w:ascii="Aptos" w:hAnsi="Aptos"/>
          <w:b/>
          <w:color w:val="196F3D"/>
        </w:rPr>
        <w:t xml:space="preserve">Decision failure: </w:t>
      </w:r>
      <w:r>
        <w:t>Clients often face complexity, ambiguity, and competing emotions. An advisor who merely presents information transfers the burden of organizing that information back to the client. Ethical leadership frames the decision, compares reasonable alternatives, identifies tradeoffs, and checks comprehension without dictating the answer.</w:t>
      </w:r>
    </w:p>
    <w:p>
      <w:pPr>
        <w:pStyle w:val="ListNumber"/>
        <w:spacing w:after="100"/>
        <w:ind w:left="720" w:hanging="360"/>
      </w:pPr>
      <w:r>
        <w:rPr>
          <w:rFonts w:ascii="Aptos" w:hAnsi="Aptos"/>
          <w:b/>
          <w:color w:val="196F3D"/>
        </w:rPr>
        <w:t xml:space="preserve">Behavioral failure: </w:t>
      </w:r>
      <w:r>
        <w:t>A sound plan has value only when implemented and maintained. Vanguard notes that clients reach goals only if plans are followed and identifies behavioral coaching as a way advisors help clients stay committed and avoid performance chasing or panic selling. [3]</w:t>
      </w:r>
    </w:p>
    <w:p>
      <w:pPr>
        <w:pStyle w:val="ListNumber"/>
        <w:spacing w:after="100"/>
        <w:ind w:left="720" w:hanging="360"/>
      </w:pPr>
      <w:r>
        <w:rPr>
          <w:rFonts w:ascii="Aptos" w:hAnsi="Aptos"/>
          <w:b/>
          <w:color w:val="196F3D"/>
        </w:rPr>
        <w:t xml:space="preserve">Execution failure: </w:t>
      </w:r>
      <w:r>
        <w:t>Meetings without a named action, owner, deadline, and next appointment create avoidable ambiguity. Good intentions decay into procrastination. Documents go unsigned, accounts remain unfunded, beneficiary updates stall, and planning gaps remain exposed.</w:t>
      </w:r>
    </w:p>
    <w:p>
      <w:pPr>
        <w:pStyle w:val="ListNumber"/>
        <w:spacing w:after="100"/>
        <w:ind w:left="720" w:hanging="360"/>
      </w:pPr>
      <w:r>
        <w:rPr>
          <w:rFonts w:ascii="Aptos" w:hAnsi="Aptos"/>
          <w:b/>
          <w:color w:val="196F3D"/>
        </w:rPr>
        <w:t xml:space="preserve">Trust failure: </w:t>
      </w:r>
      <w:r>
        <w:t>Clients do not experience leadership as pressure when it is grounded in competence, transparency, and their best interest. They experience it as clarity. In contrast, disorganization and inconsistent follow-up signal that the advisor may not be capable of carrying the responsibility the client intended to delegate.</w:t>
      </w:r>
    </w:p>
    <w:p>
      <w:pPr>
        <w:pStyle w:val="ListNumber"/>
        <w:spacing w:after="100"/>
        <w:ind w:left="720" w:hanging="360"/>
      </w:pPr>
      <w:r>
        <w:rPr>
          <w:rFonts w:ascii="Aptos" w:hAnsi="Aptos"/>
          <w:b/>
          <w:color w:val="196F3D"/>
        </w:rPr>
        <w:t xml:space="preserve">Practice failure: </w:t>
      </w:r>
      <w:r>
        <w:t>A practice that cannot lead conversations predictably produces inconsistent client experiences, elongated sales cycles, poor handoffs, weak referrals, and a pipeline filled with unresolved opportunities. The problem may appear to be lead quality when the deeper issue is process quality.</w:t>
      </w:r>
    </w:p>
    <w:p>
      <w:pPr>
        <w:pStyle w:val="Heading1"/>
      </w:pPr>
      <w:r>
        <w:t>The C4G Ethical Client Control Framework</w:t>
      </w:r>
    </w:p>
    <w:p>
      <w:r>
        <w:t>C4G recommends seven commitments that preserve client autonomy while keeping the advisory process productive.</w:t>
      </w:r>
    </w:p>
    <w:p>
      <w:pPr>
        <w:pStyle w:val="Heading2"/>
      </w:pPr>
      <w:r>
        <w:t>1. Contract for the conversation</w:t>
      </w:r>
    </w:p>
    <w:p>
      <w:r>
        <w:t>Confirm the purpose, available time, agenda, and desired outcome. Ask permission to redirect if the discussion moves away from the agreed objective.</w:t>
      </w:r>
    </w:p>
    <w:p>
      <w:pPr>
        <w:pStyle w:val="Heading2"/>
      </w:pPr>
      <w:r>
        <w:t>2. Discover before diagnosing</w:t>
      </w:r>
    </w:p>
    <w:p>
      <w:r>
        <w:t>Use open questions, clarifying questions, and reflective listening. Separate what the client says from what the advisor assumes.</w:t>
      </w:r>
    </w:p>
    <w:p>
      <w:pPr>
        <w:pStyle w:val="Heading2"/>
      </w:pPr>
      <w:r>
        <w:t>3. Define the real problem</w:t>
      </w:r>
    </w:p>
    <w:p>
      <w:r>
        <w:t>Summarize the facts, emotional concerns, constraints, and consequences of inaction. Invite correction before moving forward.</w:t>
      </w:r>
    </w:p>
    <w:p>
      <w:pPr>
        <w:pStyle w:val="Heading2"/>
      </w:pPr>
      <w:r>
        <w:t>4. Educate without exploiting emotion</w:t>
      </w:r>
    </w:p>
    <w:p>
      <w:r>
        <w:t>Explain relevant risks and opportunities factually. Never manufacture urgency or amplify fear and greed to produce a transaction.</w:t>
      </w:r>
    </w:p>
    <w:p>
      <w:pPr>
        <w:pStyle w:val="Heading2"/>
      </w:pPr>
      <w:r>
        <w:t>5. Recommend with transparency</w:t>
      </w:r>
    </w:p>
    <w:p>
      <w:r>
        <w:t>Connect each recommendation to the client's stated objectives. Explain alternatives, costs, conflicts, limitations, and material risks.</w:t>
      </w:r>
    </w:p>
    <w:p>
      <w:pPr>
        <w:pStyle w:val="Heading2"/>
      </w:pPr>
      <w:r>
        <w:t>6. Confirm understanding and choice</w:t>
      </w:r>
    </w:p>
    <w:p>
      <w:r>
        <w:t>Ask the client to explain the decision in their own words. Make space for questions, delay, independent review, or refusal.</w:t>
      </w:r>
    </w:p>
    <w:p>
      <w:pPr>
        <w:pStyle w:val="Heading2"/>
      </w:pPr>
      <w:r>
        <w:t>7. Close the loop</w:t>
      </w:r>
    </w:p>
    <w:p>
      <w:r>
        <w:t>Record the decision, responsibilities, required documents, deadlines, and next meeting. Follow through exactly as promised.</w:t>
      </w:r>
    </w:p>
    <w:p>
      <w:pPr>
        <w:pStyle w:val="Heading1"/>
      </w:pPr>
      <w:r>
        <w:t>Language That Leads Without Pressuring</w:t>
      </w:r>
    </w:p>
    <w:p>
      <w:pPr>
        <w:pStyle w:val="ListBullet"/>
        <w:spacing w:after="80"/>
        <w:ind w:left="720" w:hanging="360"/>
      </w:pPr>
      <w:r>
        <w:t>We agreed that today's goal was to determine whether your current plan supports the retirement income you want. Are you comfortable if I bring us back to that question?</w:t>
      </w:r>
    </w:p>
    <w:p>
      <w:pPr>
        <w:pStyle w:val="ListBullet"/>
        <w:spacing w:after="80"/>
        <w:ind w:left="720" w:hanging="360"/>
      </w:pPr>
      <w:r>
        <w:t>Before we discuss solutions, may I ask a few more questions to make sure I understand what matters most?</w:t>
      </w:r>
    </w:p>
    <w:p>
      <w:pPr>
        <w:pStyle w:val="ListBullet"/>
        <w:spacing w:after="80"/>
        <w:ind w:left="720" w:hanging="360"/>
      </w:pPr>
      <w:r>
        <w:t>I hear that this topic is uncomfortable. Would it help if we slowed down and separated what is certain from what remains unknown?</w:t>
      </w:r>
    </w:p>
    <w:p>
      <w:pPr>
        <w:pStyle w:val="ListBullet"/>
        <w:spacing w:after="80"/>
        <w:ind w:left="720" w:hanging="360"/>
      </w:pPr>
      <w:r>
        <w:t>Based on what you have told me, these are the reasonable paths I see. Let us compare the tradeoffs together.</w:t>
      </w:r>
    </w:p>
    <w:p>
      <w:pPr>
        <w:pStyle w:val="ListBullet"/>
        <w:spacing w:after="80"/>
        <w:ind w:left="720" w:hanging="360"/>
      </w:pPr>
      <w:r>
        <w:t>What concerns have we not addressed?</w:t>
      </w:r>
    </w:p>
    <w:p>
      <w:pPr>
        <w:pStyle w:val="ListBullet"/>
        <w:spacing w:after="80"/>
        <w:ind w:left="720" w:hanging="360"/>
      </w:pPr>
      <w:r>
        <w:t>Would you explain the decision in your own words so I can make sure I communicated it clearly?</w:t>
      </w:r>
    </w:p>
    <w:p>
      <w:pPr>
        <w:pStyle w:val="ListBullet"/>
        <w:spacing w:after="80"/>
        <w:ind w:left="720" w:hanging="360"/>
      </w:pPr>
      <w:r>
        <w:t>If you are not ready, we should not proceed. What additional information would help you make an informed decision?</w:t>
      </w:r>
    </w:p>
    <w:p>
      <w:pPr>
        <w:pStyle w:val="ListBullet"/>
        <w:spacing w:after="80"/>
        <w:ind w:left="720" w:hanging="360"/>
      </w:pPr>
      <w:r>
        <w:t>Before we finish, let us identify who will do what, by when, and put our next conversation on the calendar.</w:t>
      </w:r>
    </w:p>
    <w:p>
      <w:pPr>
        <w:pStyle w:val="Heading1"/>
      </w:pPr>
      <w:r>
        <w:t>A Meeting Standard for Advisors</w:t>
      </w:r>
    </w:p>
    <w:p>
      <w:r>
        <w:t>A high-quality advisory meeting should produce evidence of progress. The following standard can be used for coaching, observation, and self-assessment.</w:t>
      </w:r>
    </w:p>
    <w:p>
      <w:pPr>
        <w:pStyle w:val="ListBullet"/>
        <w:spacing w:after="80"/>
        <w:ind w:left="720" w:hanging="360"/>
      </w:pPr>
      <w:r>
        <w:t>Purpose and agenda were mutually confirmed.</w:t>
      </w:r>
    </w:p>
    <w:p>
      <w:pPr>
        <w:pStyle w:val="ListBullet"/>
        <w:spacing w:after="80"/>
        <w:ind w:left="720" w:hanging="360"/>
      </w:pPr>
      <w:r>
        <w:t>The advisor spoke with the client, not at the client.</w:t>
      </w:r>
    </w:p>
    <w:p>
      <w:pPr>
        <w:pStyle w:val="ListBullet"/>
        <w:spacing w:after="80"/>
        <w:ind w:left="720" w:hanging="360"/>
      </w:pPr>
      <w:r>
        <w:t>Relevant facts, values, goals, and constraints were discovered.</w:t>
      </w:r>
    </w:p>
    <w:p>
      <w:pPr>
        <w:pStyle w:val="ListBullet"/>
        <w:spacing w:after="80"/>
        <w:ind w:left="720" w:hanging="360"/>
      </w:pPr>
      <w:r>
        <w:t>The advisor summarized and tested understanding.</w:t>
      </w:r>
    </w:p>
    <w:p>
      <w:pPr>
        <w:pStyle w:val="ListBullet"/>
        <w:spacing w:after="80"/>
        <w:ind w:left="720" w:hanging="360"/>
      </w:pPr>
      <w:r>
        <w:t>Recommendations were tied directly to stated client needs.</w:t>
      </w:r>
    </w:p>
    <w:p>
      <w:pPr>
        <w:pStyle w:val="ListBullet"/>
        <w:spacing w:after="80"/>
        <w:ind w:left="720" w:hanging="360"/>
      </w:pPr>
      <w:r>
        <w:t>Alternatives, costs, risks, uncertainties, and conflicts were explained.</w:t>
      </w:r>
    </w:p>
    <w:p>
      <w:pPr>
        <w:pStyle w:val="ListBullet"/>
        <w:spacing w:after="80"/>
        <w:ind w:left="720" w:hanging="360"/>
      </w:pPr>
      <w:r>
        <w:t>The client had room to question, pause, or decline.</w:t>
      </w:r>
    </w:p>
    <w:p>
      <w:pPr>
        <w:pStyle w:val="ListBullet"/>
        <w:spacing w:after="80"/>
        <w:ind w:left="720" w:hanging="360"/>
      </w:pPr>
      <w:r>
        <w:t>A decision or clearly defined open issue was recorded.</w:t>
      </w:r>
    </w:p>
    <w:p>
      <w:pPr>
        <w:pStyle w:val="ListBullet"/>
        <w:spacing w:after="80"/>
        <w:ind w:left="720" w:hanging="360"/>
      </w:pPr>
      <w:r>
        <w:t>Actions, owners, deadlines, and the next meeting were established.</w:t>
      </w:r>
    </w:p>
    <w:p>
      <w:pPr>
        <w:pStyle w:val="ListBullet"/>
        <w:spacing w:after="80"/>
        <w:ind w:left="720" w:hanging="360"/>
      </w:pPr>
      <w:r>
        <w:t>Every promised follow-up was completed and documented.</w:t>
      </w:r>
    </w:p>
    <w:p>
      <w:pPr>
        <w:pStyle w:val="Heading1"/>
      </w:pPr>
      <w:r>
        <w:t>Conclusion: Leadership Is a Form of Service</w:t>
      </w:r>
    </w:p>
    <w:p>
      <w:r>
        <w:t>Prospects and clients agree to meet with advisors because they want help navigating an important part of their lives. That consent does not authorize pressure. It creates a responsibility to bring order, competence, courage, and care to the conversation.</w:t>
      </w:r>
    </w:p>
    <w:p>
      <w:r>
        <w:t>The advisor who refuses to lead is not neutral. Confusion fills the vacuum. Emotion gains control. Decisions remain unmade. The client returns to the very uncertainty that prompted the meeting.</w:t>
      </w:r>
    </w:p>
    <w:p>
      <w:r>
        <w:t>Ethical client control is therefore an act of service. It protects the client's time, keeps attention on what matters, creates informed choices, and turns intention into accountable action. The client remains in control of the decision. The advisor earns the right and accepts the duty to lead the process.</w:t>
      </w:r>
    </w:p>
    <w:tbl>
      <w:tblPr>
        <w:tblW w:type="auto" w:w="0"/>
        <w:jc w:val="left"/>
        <w:tblLayout w:type="fixed"/>
        <w:tblLook w:firstColumn="1" w:firstRow="1" w:lastColumn="0" w:lastRow="0" w:noHBand="0" w:noVBand="1" w:val="04A0"/>
      </w:tblPr>
      <w:tblGrid>
        <w:gridCol w:w="9360"/>
      </w:tblGrid>
      <w:tr>
        <w:tc>
          <w:tcPr>
            <w:tcW w:type="dxa" w:w="9360"/>
            <w:tcW w:w="9360" w:type="dxa"/>
            <w:shd w:fill="EAF3ED"/>
            <w:vAlign w:val="center"/>
          </w:tcPr>
          <w:p>
            <w:pPr>
              <w:spacing w:before="140" w:after="140"/>
            </w:pPr>
            <w:r>
              <w:rPr>
                <w:rFonts w:ascii="Aptos" w:hAnsi="Aptos"/>
                <w:b/>
                <w:color w:val="196F3D"/>
              </w:rPr>
              <w:t xml:space="preserve">C4G call to action  </w:t>
            </w:r>
            <w:r>
              <w:t>Do not leave important client outcomes to an improvised conversation. Build a repeatable meeting process, train it, role-play it, observe it, measure it, and improve it. Catalyst 4 Growth helps advisors and teams develop the communication, process, and leadership disciplines required to serve clients at a higher level. Visit Catalyst4Growth.com to begin the conversation.</w:t>
            </w:r>
          </w:p>
        </w:tc>
      </w:tr>
    </w:tbl>
    <w:p>
      <w:pPr>
        <w:spacing w:after="0"/>
      </w:pPr>
    </w:p>
    <w:p>
      <w:r>
        <w:br w:type="page"/>
      </w:r>
    </w:p>
    <w:p>
      <w:pPr>
        <w:pStyle w:val="Heading1"/>
      </w:pPr>
      <w:r>
        <w:t>Sources and Research Notes</w:t>
      </w:r>
    </w:p>
    <w:p>
      <w:pPr>
        <w:ind w:hanging="360" w:left="360"/>
      </w:pPr>
      <w:r>
        <w:t>[1] CFP Board. “Research Finds CFP® Professional-Advised Americans Experience Greater Financial Preparedness, Confidence and Trust.” January 22, 2026. Based on 4,567 eligible participants in the NORC AmeriSpeak® Panel; weighted to the target population. https://www.cfp.net/news/2026/01/cfp-professional-advised-americans-experience-greater-financial-preparedness</w:t>
      </w:r>
    </w:p>
    <w:p>
      <w:pPr>
        <w:ind w:hanging="360" w:left="360"/>
      </w:pPr>
      <w:r>
        <w:t>[2] Vanguard. Costa, Paulo; Madamba, Anna; and Salter, John. “The Emotional and Time Value of Advice.” 2025. Survey conducted in July 2024 among 12,443 Vanguard investors, including 7,746 advised investors. https://workplace.vanguard.com/content/dam/inst/iig-transformation/insights/pdf/2025/corporate/the_emotional_and_time_value_of_advice.pdf</w:t>
      </w:r>
    </w:p>
    <w:p>
      <w:pPr>
        <w:ind w:hanging="360" w:left="360"/>
      </w:pPr>
      <w:r>
        <w:t>[3] Vanguard. Weber, Stephen M.; Costa, Paulo; Hassett, Bryan; Padmawar, Sachin; and Yarwood, Georgina. “The Value of Personalized Advice.” August 2022. The cited 83 to 285 basis-point range comes from four hypothetical case studies and is not a promised return. https://workplace.vanguard.com/content/dam/inst/iig-transformation/insights/pdf/2022/value-of-personalized-advice.pdf</w:t>
      </w:r>
    </w:p>
    <w:p>
      <w:pPr>
        <w:ind w:hanging="360" w:left="360"/>
      </w:pPr>
      <w:r>
        <w:t>[4] U.S. Securities and Exchange Commission. “Regulation Best Interest: The Broker-Dealer Standard of Conduct.” Release No. 34-86031, June 5, 2019. https://www.sec.gov/files/rules/final/2019/34-86031.pdf</w:t>
      </w:r>
    </w:p>
    <w:p>
      <w:pPr>
        <w:ind w:hanging="360" w:left="360"/>
      </w:pPr>
      <w:r>
        <w:t>[5] FINRA Investor Education Foundation. “Financial Professional or Artificial Intelligence? FINRA Foundation Report Examines Which of These Consumers Trust More.” June 4, 2024. Experimental study of more than 1,000 U.S. adults. https://www.finra.org/media-center/newsreleases/2024/report-finra-foundation-financial-professional-or-artificial-intelligence</w:t>
      </w:r>
    </w:p>
    <w:p>
      <w:pPr>
        <w:pStyle w:val="Heading2"/>
      </w:pPr>
      <w:r>
        <w:t>Important Limitations</w:t>
      </w:r>
    </w:p>
    <w:p>
      <w:r>
        <w:t>The studies cited measure different populations and outcomes. Several findings are self-reported or observational and should not be interpreted as proof that advisor process alone caused the reported result. The Vanguard basis-point examples are hypothetical modeling illustrations. This paper is educational and does not constitute legal, tax, investment, or compliance advice. Advisors should follow all applicable laws, regulations, fiduciary duties, firm policies, documentation requirements, and standards of professional conduct.</w:t>
      </w:r>
    </w:p>
    <w:sectPr w:rsidR="00FC693F" w:rsidRPr="0006063C" w:rsidSect="00034616">
      <w:headerReference w:type="default" r:id="rId9"/>
      <w:footerReference w:type="default" r:id="rId10"/>
      <w:pgSz w:w="12240" w:h="15840"/>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i/>
        <w:color w:val="5C6561"/>
        <w:sz w:val="16"/>
      </w:rPr>
      <w:t>Execution, perseverance, and consistency are the keys to success.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96F3D"/>
        <w:sz w:val="16"/>
      </w:rPr>
      <w:t>CATALYST 4 GROWTH  |  C4G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ptos" w:hAnsi="Aptos"/>
      <w:color w:val="1E26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196F3D"/>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96F3D"/>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1E262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Control: The Advisor's Ethical Responsibility to Lead the Conversation</dc:title>
  <dc:subject>C4G White Paper</dc:subject>
  <dc:creator>John A. Kailunas II and Kevin Berwald</dc:creator>
  <cp:keywords/>
  <dc:description>generated by python-docx</dc:description>
  <cp:lastModifiedBy/>
  <cp:revision>1</cp:revision>
  <dcterms:created xsi:type="dcterms:W3CDTF">2013-12-23T23:15:00Z</dcterms:created>
  <dcterms:modified xsi:type="dcterms:W3CDTF">2013-12-23T23:15:00Z</dcterms:modified>
  <cp:category/>
</cp:coreProperties>
</file>